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(June, 2025)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    </w:t>
        <w:tab/>
        <w:t xml:space="preserve">Date: 24/06/2025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0710140</w:t>
        <w:tab/>
        <w:t xml:space="preserve">2</w:t>
        <w:tab/>
        <w:tab/>
        <w:tab/>
        <w:tab/>
        <w:t xml:space="preserve">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  <w:smallCap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Neuroscience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ab/>
        <w:tab/>
        <w:t xml:space="preserve">            </w:t>
        <w:tab/>
        <w:tab/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a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113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Develop a comprehensive physiotherapy treatment plan to improve mobility, reduce spasticity, and enhance balance for a 62-year-old male who demonstrates right-sided hemiparesis, spasticity in the upper limb flexors, poor balance, and mild expressive aphasia.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A 28-year-old male with a T12 complete spinal cord injury (ASIA A) presents 4 weeks post-injury with flaccid lower limbs, no voluntary bowel/bladder control, and is wheelchair-bound. Design a physiotherapy rehabilitation plan for the same.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Characteristics of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Parkinsonian Gait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Physiotherapy management for Neurogenic Bladder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any 5 Facilitation Techniques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Mention about Physiotherapy management for ALS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Causalgia</w:t>
            </w:r>
          </w:p>
        </w:tc>
        <w:tc>
          <w:tcPr/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Bell’s Phenomena</w:t>
            </w:r>
          </w:p>
        </w:tc>
        <w:tc>
          <w:tcPr/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Finger to nose test</w:t>
            </w:r>
          </w:p>
        </w:tc>
        <w:tc>
          <w:tcPr/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Mention Brunnstrom stages of recovery</w:t>
            </w:r>
          </w:p>
        </w:tc>
        <w:tc>
          <w:tcPr/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Charcot’s Triad</w:t>
            </w:r>
          </w:p>
        </w:tc>
        <w:tc>
          <w:tcPr/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Mention various Levels of consciousness</w:t>
            </w:r>
          </w:p>
        </w:tc>
        <w:tc>
          <w:tcPr/>
          <w:p w:rsidR="00000000" w:rsidDel="00000000" w:rsidP="00000000" w:rsidRDefault="00000000" w:rsidRPr="00000000" w14:paraId="0000004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SECTION B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the physiotherapy management approach for a child with spastic cerebral palsy. Explain the rationale behind the selected treatment techniques.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the physiotherapy treatment used for multiple sclerosis. How do these treatments help the patient?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Clinical presentation for patient with Friedrich’s ataxia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Discuss Physiotherapy management for Meningitis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CO4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Describe signs and symptoms of Carpal Tunnel Syndrome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Physiotherapy management for Post-polio syndrome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7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Define FG test</w:t>
            </w:r>
          </w:p>
        </w:tc>
        <w:tc>
          <w:tcPr/>
          <w:p w:rsidR="00000000" w:rsidDel="00000000" w:rsidP="00000000" w:rsidRDefault="00000000" w:rsidRPr="00000000" w14:paraId="0000007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down Clinical features of Brown-Sequard syndrome</w:t>
            </w:r>
          </w:p>
        </w:tc>
        <w:tc>
          <w:tcPr/>
          <w:p w:rsidR="00000000" w:rsidDel="00000000" w:rsidP="00000000" w:rsidRDefault="00000000" w:rsidRPr="00000000" w14:paraId="0000007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CO5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Gower’s sign</w:t>
            </w:r>
          </w:p>
        </w:tc>
        <w:tc>
          <w:tcPr/>
          <w:p w:rsidR="00000000" w:rsidDel="00000000" w:rsidP="00000000" w:rsidRDefault="00000000" w:rsidRPr="00000000" w14:paraId="0000008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Babinski Sign</w:t>
            </w:r>
          </w:p>
        </w:tc>
        <w:tc>
          <w:tcPr/>
          <w:p w:rsidR="00000000" w:rsidDel="00000000" w:rsidP="00000000" w:rsidRDefault="00000000" w:rsidRPr="00000000" w14:paraId="0000008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Explain Myasthenic crisis</w:t>
            </w:r>
          </w:p>
        </w:tc>
        <w:tc>
          <w:tcPr/>
          <w:p w:rsidR="00000000" w:rsidDel="00000000" w:rsidP="00000000" w:rsidRDefault="00000000" w:rsidRPr="00000000" w14:paraId="000000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CO2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D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 down Functions of the Frontal Lobe</w:t>
            </w:r>
          </w:p>
        </w:tc>
        <w:tc>
          <w:tcPr/>
          <w:p w:rsidR="00000000" w:rsidDel="00000000" w:rsidP="00000000" w:rsidRDefault="00000000" w:rsidRPr="00000000" w14:paraId="0000008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F">
            <w:pPr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CO1</w:t>
            </w:r>
          </w:p>
        </w:tc>
      </w:tr>
    </w:tbl>
    <w:p w:rsidR="00000000" w:rsidDel="00000000" w:rsidP="00000000" w:rsidRDefault="00000000" w:rsidRPr="00000000" w14:paraId="00000090">
      <w:pPr>
        <w:rPr>
          <w:rFonts w:ascii="Times New Roman" w:cs="Times New Roman" w:eastAsia="Times New Roman" w:hAnsi="Times New Roman"/>
        </w:rPr>
      </w:pPr>
      <w:bookmarkStart w:colFirst="0" w:colLast="0" w:name="_heading=h.9w51wo9p8kkx" w:id="0"/>
      <w:bookmarkEnd w:id="0"/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B128E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table" w:styleId="TableNormal0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1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0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HmOi9KPXXJSCCZUBEzLNmUjeZw==">CgMxLjAyDmguOXc1MXdvOXA4a2t4OAByITFtdHNwZDdBYk5URGd3aWZYZ3p3ZFdCZi03RDFVWlVQTg==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2025-06-18T05:51:00Z</dcterms:created>
  <dc:creator>parul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f688918c-ca0b-4fa0-8281-337f966526c6</vt:lpwstr>
  </property>
</Properties>
</file>